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CC" w:rsidRPr="004838A9" w:rsidRDefault="000308CC" w:rsidP="000308C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FORMAT FOR THE PREPARATION OF NATIONAL REPORTS/</w:t>
      </w:r>
    </w:p>
    <w:p w:rsidR="000308CC" w:rsidRPr="004838A9" w:rsidRDefault="000308CC" w:rsidP="000308C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r-FR"/>
        </w:rPr>
      </w:pPr>
      <w:r w:rsidRPr="004838A9">
        <w:rPr>
          <w:b/>
          <w:bCs/>
          <w:sz w:val="22"/>
          <w:szCs w:val="22"/>
          <w:lang w:val="fr-FR"/>
        </w:rPr>
        <w:t>MODÈLE POUR LA PRÉPARATION DES RAPPORTS NATIONAUX</w:t>
      </w:r>
    </w:p>
    <w:p w:rsidR="000308CC" w:rsidRPr="000308CC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fr-FR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Description of the fisheries</w:t>
      </w:r>
    </w:p>
    <w:p w:rsidR="000308CC" w:rsidRPr="004838A9" w:rsidRDefault="000308CC" w:rsidP="000308CC">
      <w:pPr>
        <w:autoSpaceDE w:val="0"/>
        <w:autoSpaceDN w:val="0"/>
        <w:adjustRightInd w:val="0"/>
        <w:ind w:left="720" w:hanging="436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>Provide the following information (use tables provided where appropriate):</w:t>
      </w:r>
    </w:p>
    <w:p w:rsidR="000308CC" w:rsidRPr="004838A9" w:rsidRDefault="000308CC" w:rsidP="000308CC">
      <w:pPr>
        <w:autoSpaceDE w:val="0"/>
        <w:autoSpaceDN w:val="0"/>
        <w:adjustRightInd w:val="0"/>
        <w:ind w:left="720" w:hanging="436"/>
        <w:jc w:val="both"/>
        <w:rPr>
          <w:sz w:val="22"/>
          <w:szCs w:val="22"/>
          <w:lang w:val="en-GB"/>
        </w:rPr>
      </w:pPr>
      <w:proofErr w:type="gramStart"/>
      <w:r w:rsidRPr="004838A9">
        <w:rPr>
          <w:sz w:val="22"/>
          <w:szCs w:val="22"/>
          <w:lang w:val="en-GB"/>
        </w:rPr>
        <w:t>Description of the fishing grounds and GSA.</w:t>
      </w:r>
      <w:proofErr w:type="gramEnd"/>
    </w:p>
    <w:p w:rsidR="000308CC" w:rsidRPr="004838A9" w:rsidRDefault="000308CC" w:rsidP="000308CC">
      <w:pPr>
        <w:autoSpaceDE w:val="0"/>
        <w:autoSpaceDN w:val="0"/>
        <w:adjustRightInd w:val="0"/>
        <w:ind w:left="720" w:hanging="436"/>
        <w:jc w:val="both"/>
        <w:rPr>
          <w:sz w:val="22"/>
          <w:szCs w:val="22"/>
          <w:lang w:val="en-GB"/>
        </w:rPr>
      </w:pPr>
      <w:proofErr w:type="gramStart"/>
      <w:r w:rsidRPr="004838A9">
        <w:rPr>
          <w:sz w:val="22"/>
          <w:szCs w:val="22"/>
          <w:lang w:val="en-GB"/>
        </w:rPr>
        <w:t>Total landings by group of targeted species.</w:t>
      </w:r>
      <w:proofErr w:type="gramEnd"/>
    </w:p>
    <w:p w:rsidR="000308CC" w:rsidRPr="004838A9" w:rsidRDefault="000308CC" w:rsidP="000308CC">
      <w:pPr>
        <w:autoSpaceDE w:val="0"/>
        <w:autoSpaceDN w:val="0"/>
        <w:adjustRightInd w:val="0"/>
        <w:ind w:left="720" w:hanging="436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>Total landings by species (estimated if needed)</w:t>
      </w:r>
    </w:p>
    <w:p w:rsidR="000308CC" w:rsidRPr="004838A9" w:rsidRDefault="000308CC" w:rsidP="000308CC">
      <w:pPr>
        <w:jc w:val="both"/>
        <w:rPr>
          <w:sz w:val="22"/>
          <w:szCs w:val="22"/>
          <w:lang w:val="en-GB" w:eastAsia="en-US"/>
        </w:rPr>
      </w:pP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4838A9">
        <w:rPr>
          <w:sz w:val="22"/>
          <w:szCs w:val="22"/>
        </w:rPr>
        <w:t>Fleet</w:t>
      </w:r>
      <w:proofErr w:type="spellEnd"/>
      <w:r w:rsidRPr="004838A9">
        <w:rPr>
          <w:sz w:val="22"/>
          <w:szCs w:val="22"/>
        </w:rPr>
        <w:t>:</w:t>
      </w:r>
    </w:p>
    <w:p w:rsidR="000308CC" w:rsidRPr="004838A9" w:rsidRDefault="000308CC" w:rsidP="000308CC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val="en-GB"/>
        </w:rPr>
      </w:pPr>
      <w:proofErr w:type="gramStart"/>
      <w:r w:rsidRPr="004838A9">
        <w:rPr>
          <w:sz w:val="22"/>
          <w:szCs w:val="22"/>
          <w:lang w:val="en-GB"/>
        </w:rPr>
        <w:t>number</w:t>
      </w:r>
      <w:proofErr w:type="gramEnd"/>
      <w:r w:rsidRPr="004838A9">
        <w:rPr>
          <w:sz w:val="22"/>
          <w:szCs w:val="22"/>
          <w:lang w:val="en-GB"/>
        </w:rPr>
        <w:t xml:space="preserve"> of vessels by fleet segment (Tables will be provided). Indicate updates from last year.</w:t>
      </w:r>
    </w:p>
    <w:p w:rsidR="000308CC" w:rsidRPr="004838A9" w:rsidRDefault="000308CC" w:rsidP="000308CC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838A9">
        <w:rPr>
          <w:sz w:val="22"/>
          <w:szCs w:val="22"/>
        </w:rPr>
        <w:t>LOA (</w:t>
      </w:r>
      <w:proofErr w:type="spellStart"/>
      <w:r w:rsidRPr="004838A9">
        <w:rPr>
          <w:sz w:val="22"/>
          <w:szCs w:val="22"/>
        </w:rPr>
        <w:t>range</w:t>
      </w:r>
      <w:proofErr w:type="spellEnd"/>
      <w:r w:rsidRPr="004838A9">
        <w:rPr>
          <w:sz w:val="22"/>
          <w:szCs w:val="22"/>
        </w:rPr>
        <w:t xml:space="preserve"> and </w:t>
      </w:r>
      <w:proofErr w:type="spellStart"/>
      <w:r w:rsidRPr="004838A9">
        <w:rPr>
          <w:sz w:val="22"/>
          <w:szCs w:val="22"/>
        </w:rPr>
        <w:t>average</w:t>
      </w:r>
      <w:proofErr w:type="spellEnd"/>
      <w:r w:rsidRPr="004838A9">
        <w:rPr>
          <w:sz w:val="22"/>
          <w:szCs w:val="22"/>
        </w:rPr>
        <w:t>)</w:t>
      </w:r>
    </w:p>
    <w:p w:rsidR="000308CC" w:rsidRPr="004838A9" w:rsidRDefault="000308CC" w:rsidP="000308CC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>Total KW (or HP) + GT (or GRT)</w:t>
      </w:r>
    </w:p>
    <w:p w:rsidR="000308CC" w:rsidRPr="004838A9" w:rsidRDefault="000308CC" w:rsidP="000308CC">
      <w:pPr>
        <w:autoSpaceDE w:val="0"/>
        <w:autoSpaceDN w:val="0"/>
        <w:adjustRightInd w:val="0"/>
        <w:ind w:left="851"/>
        <w:jc w:val="both"/>
        <w:rPr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Status of stocks of priority species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 xml:space="preserve">Indicate the species evaluated during the </w:t>
      </w:r>
      <w:proofErr w:type="spellStart"/>
      <w:r w:rsidRPr="004838A9">
        <w:rPr>
          <w:sz w:val="22"/>
          <w:szCs w:val="22"/>
          <w:lang w:val="en-GB"/>
        </w:rPr>
        <w:t>intersessional</w:t>
      </w:r>
      <w:proofErr w:type="spellEnd"/>
      <w:r w:rsidRPr="004838A9">
        <w:rPr>
          <w:sz w:val="22"/>
          <w:szCs w:val="22"/>
          <w:lang w:val="en-GB"/>
        </w:rPr>
        <w:t xml:space="preserve"> period expressing the exploitation status for each stock. The report should also indicate the geographical sub-areas covered by the assessment and whether those have been presented to the GFCM Working Groups or to any other instances. </w:t>
      </w: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Status of the statistics and information system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 xml:space="preserve">Description of the national system of fishery statistics and/or any improvement/change occurred. Indicate whether or not progress in activities related to the collection and processing of fishery statistics have been done with the assistance </w:t>
      </w:r>
      <w:proofErr w:type="gramStart"/>
      <w:r w:rsidRPr="004838A9">
        <w:rPr>
          <w:sz w:val="22"/>
          <w:szCs w:val="22"/>
          <w:lang w:val="en-GB"/>
        </w:rPr>
        <w:t>of  FAO</w:t>
      </w:r>
      <w:proofErr w:type="gramEnd"/>
      <w:r w:rsidRPr="004838A9">
        <w:rPr>
          <w:sz w:val="22"/>
          <w:szCs w:val="22"/>
          <w:lang w:val="en-GB"/>
        </w:rPr>
        <w:t xml:space="preserve"> regional projects . Type of data collected, transmission to GFCM Secretariat and other international bodies. </w:t>
      </w:r>
      <w:proofErr w:type="gramStart"/>
      <w:r w:rsidRPr="004838A9">
        <w:rPr>
          <w:sz w:val="22"/>
          <w:szCs w:val="22"/>
          <w:lang w:val="en-GB"/>
        </w:rPr>
        <w:t>Inventory of existing databases.</w:t>
      </w:r>
      <w:proofErr w:type="gramEnd"/>
      <w:r w:rsidRPr="004838A9">
        <w:rPr>
          <w:sz w:val="22"/>
          <w:szCs w:val="22"/>
          <w:lang w:val="en-GB"/>
        </w:rPr>
        <w:t xml:space="preserve"> </w:t>
      </w:r>
      <w:proofErr w:type="gramStart"/>
      <w:r w:rsidRPr="004838A9">
        <w:rPr>
          <w:sz w:val="22"/>
          <w:szCs w:val="22"/>
          <w:lang w:val="en-GB"/>
        </w:rPr>
        <w:t>Synergies with other applications.</w:t>
      </w:r>
      <w:proofErr w:type="gramEnd"/>
    </w:p>
    <w:p w:rsidR="000308CC" w:rsidRPr="004838A9" w:rsidRDefault="000308CC" w:rsidP="000308C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Status of research in progress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>Description of the results of the continuing and in progress research projects of interest to GFCM Sub-Committees and Working Groups, with particular emphasis on management oriented assessment and GFCM priority species.</w:t>
      </w: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 xml:space="preserve">Status of the social sciences studies in progress or achieved during the </w:t>
      </w:r>
      <w:proofErr w:type="spellStart"/>
      <w:r w:rsidRPr="004838A9">
        <w:rPr>
          <w:b/>
          <w:bCs/>
          <w:sz w:val="22"/>
          <w:szCs w:val="22"/>
          <w:lang w:val="en-GB"/>
        </w:rPr>
        <w:t>intersessional</w:t>
      </w:r>
      <w:proofErr w:type="spellEnd"/>
      <w:r w:rsidRPr="004838A9">
        <w:rPr>
          <w:b/>
          <w:bCs/>
          <w:sz w:val="22"/>
          <w:szCs w:val="22"/>
          <w:lang w:val="en-GB"/>
        </w:rPr>
        <w:t xml:space="preserve"> period (economy, relevant legislation, sociology, etc.)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>Description of the achievement and/or progress in activities related to the national research on the socio-economic aspects of the fishing communities and fishing sector.</w:t>
      </w:r>
    </w:p>
    <w:p w:rsidR="000308CC" w:rsidRPr="004838A9" w:rsidRDefault="000308CC" w:rsidP="000308CC">
      <w:pPr>
        <w:rPr>
          <w:b/>
          <w:bCs/>
          <w:sz w:val="22"/>
          <w:szCs w:val="22"/>
          <w:lang w:val="en-GB"/>
        </w:rPr>
      </w:pPr>
    </w:p>
    <w:p w:rsidR="000308CC" w:rsidRPr="004838A9" w:rsidRDefault="000308CC" w:rsidP="000308CC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Marine environmental studies in progress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 xml:space="preserve">Description of the main results from actions and studies carried out during the </w:t>
      </w:r>
      <w:proofErr w:type="spellStart"/>
      <w:r w:rsidRPr="004838A9">
        <w:rPr>
          <w:sz w:val="22"/>
          <w:szCs w:val="22"/>
          <w:lang w:val="en-GB"/>
        </w:rPr>
        <w:t>intersessional</w:t>
      </w:r>
      <w:proofErr w:type="spellEnd"/>
      <w:r w:rsidRPr="004838A9">
        <w:rPr>
          <w:sz w:val="22"/>
          <w:szCs w:val="22"/>
          <w:lang w:val="en-GB"/>
        </w:rPr>
        <w:t xml:space="preserve"> </w:t>
      </w:r>
      <w:proofErr w:type="gramStart"/>
      <w:r w:rsidRPr="004838A9">
        <w:rPr>
          <w:sz w:val="22"/>
          <w:szCs w:val="22"/>
          <w:lang w:val="en-GB"/>
        </w:rPr>
        <w:t>period which are</w:t>
      </w:r>
      <w:proofErr w:type="gramEnd"/>
      <w:r w:rsidRPr="004838A9">
        <w:rPr>
          <w:sz w:val="22"/>
          <w:szCs w:val="22"/>
          <w:lang w:val="en-GB"/>
        </w:rPr>
        <w:t xml:space="preserve"> relevant to the impact of the marine environment changes on the priority stocks and on the ecosystem alteration originated by the fisheries activities.</w:t>
      </w: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In</w:t>
      </w:r>
      <w:r>
        <w:rPr>
          <w:b/>
          <w:bCs/>
          <w:sz w:val="22"/>
          <w:szCs w:val="22"/>
          <w:lang w:val="en-GB"/>
        </w:rPr>
        <w:t>volvement in activities of FAO r</w:t>
      </w:r>
      <w:r w:rsidRPr="004838A9">
        <w:rPr>
          <w:b/>
          <w:bCs/>
          <w:sz w:val="22"/>
          <w:szCs w:val="22"/>
          <w:lang w:val="en-GB"/>
        </w:rPr>
        <w:t xml:space="preserve">egional </w:t>
      </w:r>
      <w:r>
        <w:rPr>
          <w:b/>
          <w:bCs/>
          <w:sz w:val="22"/>
          <w:szCs w:val="22"/>
          <w:lang w:val="en-GB"/>
        </w:rPr>
        <w:t>p</w:t>
      </w:r>
      <w:r w:rsidRPr="004838A9">
        <w:rPr>
          <w:b/>
          <w:bCs/>
          <w:sz w:val="22"/>
          <w:szCs w:val="22"/>
          <w:lang w:val="en-GB"/>
        </w:rPr>
        <w:t>rojects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  <w:lang w:val="en-GB"/>
        </w:rPr>
      </w:pPr>
      <w:r w:rsidRPr="004838A9">
        <w:rPr>
          <w:bCs/>
          <w:sz w:val="22"/>
          <w:szCs w:val="22"/>
          <w:lang w:val="en-GB"/>
        </w:rPr>
        <w:t xml:space="preserve">Description of activities carried out during the </w:t>
      </w:r>
      <w:proofErr w:type="spellStart"/>
      <w:r w:rsidRPr="004838A9">
        <w:rPr>
          <w:bCs/>
          <w:sz w:val="22"/>
          <w:szCs w:val="22"/>
          <w:lang w:val="en-GB"/>
        </w:rPr>
        <w:t>intersessional</w:t>
      </w:r>
      <w:proofErr w:type="spellEnd"/>
      <w:r w:rsidRPr="004838A9">
        <w:rPr>
          <w:bCs/>
          <w:sz w:val="22"/>
          <w:szCs w:val="22"/>
          <w:lang w:val="en-GB"/>
        </w:rPr>
        <w:t xml:space="preserve"> period by Regional Projects, level of involvement, results obtained and assistance received.</w:t>
      </w: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Management measures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 xml:space="preserve">Description of the management measures (legislation, regulations, </w:t>
      </w:r>
      <w:proofErr w:type="spellStart"/>
      <w:r w:rsidRPr="004838A9">
        <w:rPr>
          <w:sz w:val="22"/>
          <w:szCs w:val="22"/>
          <w:lang w:val="en-GB"/>
        </w:rPr>
        <w:t>etc</w:t>
      </w:r>
      <w:proofErr w:type="spellEnd"/>
      <w:r w:rsidRPr="004838A9">
        <w:rPr>
          <w:sz w:val="22"/>
          <w:szCs w:val="22"/>
          <w:lang w:val="en-GB"/>
        </w:rPr>
        <w:t>) taken in direct response to GFCM recommendations</w:t>
      </w:r>
      <w:r w:rsidRPr="004838A9" w:rsidDel="0055279A">
        <w:rPr>
          <w:sz w:val="22"/>
          <w:szCs w:val="22"/>
          <w:lang w:val="en-GB"/>
        </w:rPr>
        <w:t xml:space="preserve"> </w:t>
      </w:r>
      <w:r w:rsidRPr="004838A9">
        <w:rPr>
          <w:sz w:val="22"/>
          <w:szCs w:val="22"/>
          <w:lang w:val="en-GB"/>
        </w:rPr>
        <w:t xml:space="preserve">during </w:t>
      </w:r>
      <w:proofErr w:type="spellStart"/>
      <w:r w:rsidRPr="004838A9">
        <w:rPr>
          <w:sz w:val="22"/>
          <w:szCs w:val="22"/>
          <w:lang w:val="en-GB"/>
        </w:rPr>
        <w:t>intersessional</w:t>
      </w:r>
      <w:proofErr w:type="spellEnd"/>
      <w:r w:rsidRPr="004838A9">
        <w:rPr>
          <w:sz w:val="22"/>
          <w:szCs w:val="22"/>
          <w:lang w:val="en-GB"/>
        </w:rPr>
        <w:t xml:space="preserve"> period </w:t>
      </w:r>
      <w:r w:rsidRPr="004838A9">
        <w:rPr>
          <w:b/>
          <w:sz w:val="22"/>
          <w:szCs w:val="22"/>
          <w:lang w:val="en-GB"/>
        </w:rPr>
        <w:t>including the assessment of their effects</w:t>
      </w:r>
      <w:r w:rsidRPr="004838A9" w:rsidDel="0055279A">
        <w:rPr>
          <w:b/>
          <w:sz w:val="22"/>
          <w:szCs w:val="22"/>
          <w:lang w:val="en-GB"/>
        </w:rPr>
        <w:t xml:space="preserve"> </w:t>
      </w:r>
    </w:p>
    <w:p w:rsidR="000308CC" w:rsidRPr="004838A9" w:rsidRDefault="000308CC" w:rsidP="000308CC">
      <w:pPr>
        <w:autoSpaceDE w:val="0"/>
        <w:autoSpaceDN w:val="0"/>
        <w:adjustRightInd w:val="0"/>
        <w:ind w:left="709"/>
        <w:jc w:val="both"/>
        <w:rPr>
          <w:sz w:val="22"/>
          <w:szCs w:val="22"/>
          <w:lang w:val="en-GB"/>
        </w:rPr>
      </w:pP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  <w:r w:rsidRPr="004838A9">
        <w:rPr>
          <w:b/>
          <w:bCs/>
          <w:sz w:val="22"/>
          <w:szCs w:val="22"/>
          <w:lang w:val="en-GB"/>
        </w:rPr>
        <w:t>Environment protection measures</w:t>
      </w:r>
      <w:r w:rsidRPr="004838A9">
        <w:rPr>
          <w:sz w:val="22"/>
          <w:szCs w:val="22"/>
          <w:lang w:val="en-GB" w:eastAsia="en-US"/>
        </w:rPr>
        <w:t xml:space="preserve"> </w:t>
      </w:r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/>
        </w:rPr>
      </w:pPr>
      <w:r w:rsidRPr="004838A9">
        <w:rPr>
          <w:sz w:val="22"/>
          <w:szCs w:val="22"/>
          <w:lang w:val="en-GB"/>
        </w:rPr>
        <w:t>Description of recent activities in establishing reserve areas during the intersession; and, whenever relevant scientific information do exist, highlighting the roles of existing marine protected areas in securing better opportunity for the sustainability of fish stocks.</w:t>
      </w:r>
    </w:p>
    <w:p w:rsidR="000308CC" w:rsidRPr="004838A9" w:rsidRDefault="000308CC" w:rsidP="000308C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:rsidR="000308CC" w:rsidRPr="004838A9" w:rsidRDefault="000308CC" w:rsidP="000308CC">
      <w:pPr>
        <w:jc w:val="both"/>
        <w:rPr>
          <w:b/>
          <w:sz w:val="22"/>
          <w:szCs w:val="22"/>
          <w:lang w:val="en-GB" w:eastAsia="en-US"/>
        </w:rPr>
      </w:pPr>
      <w:r w:rsidRPr="004838A9">
        <w:rPr>
          <w:b/>
          <w:bCs/>
          <w:sz w:val="22"/>
          <w:szCs w:val="22"/>
          <w:lang w:val="en-GB"/>
        </w:rPr>
        <w:lastRenderedPageBreak/>
        <w:t xml:space="preserve">With regard to: </w:t>
      </w:r>
      <w:hyperlink r:id="rId6" w:history="1">
        <w:r w:rsidRPr="004B48A2">
          <w:rPr>
            <w:rStyle w:val="Hyperlink"/>
            <w:b/>
            <w:i/>
            <w:sz w:val="22"/>
            <w:szCs w:val="22"/>
            <w:lang w:val="en-GB" w:eastAsia="en-US"/>
          </w:rPr>
          <w:t>Recommendation GFCM/35/2011/2 on the exploitation of red coral in the GFCM Competence Area</w:t>
        </w:r>
      </w:hyperlink>
    </w:p>
    <w:p w:rsidR="000308CC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  <w:r w:rsidRPr="004838A9">
        <w:rPr>
          <w:sz w:val="22"/>
          <w:szCs w:val="22"/>
          <w:lang w:val="en-GB"/>
        </w:rPr>
        <w:t xml:space="preserve">If derogation of Paragraph 4 </w:t>
      </w:r>
      <w:r w:rsidRPr="004838A9">
        <w:rPr>
          <w:i/>
          <w:sz w:val="22"/>
          <w:szCs w:val="22"/>
          <w:lang w:val="en-GB"/>
        </w:rPr>
        <w:t>“</w:t>
      </w:r>
      <w:r w:rsidRPr="004838A9">
        <w:rPr>
          <w:i/>
          <w:sz w:val="22"/>
          <w:szCs w:val="22"/>
          <w:lang w:val="en-GB" w:eastAsia="en-US"/>
        </w:rPr>
        <w:t>CPCs shall ensure the prohibition of the exploitation of red coral populations at depth less than 50 m until scientific studies, as validated by GFCM-SAC, indicate otherwise”</w:t>
      </w:r>
      <w:r w:rsidRPr="004838A9">
        <w:rPr>
          <w:sz w:val="22"/>
          <w:szCs w:val="22"/>
          <w:lang w:val="en-GB" w:eastAsia="en-US"/>
        </w:rPr>
        <w:t xml:space="preserve"> is applicable, provide detailed information on the national management framework and the studies carried out at national level to apply this derogation.</w:t>
      </w:r>
    </w:p>
    <w:p w:rsidR="006644CF" w:rsidRDefault="006644CF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</w:p>
    <w:p w:rsidR="006644CF" w:rsidRPr="004838A9" w:rsidRDefault="006644CF" w:rsidP="006644CF">
      <w:pPr>
        <w:jc w:val="both"/>
        <w:rPr>
          <w:b/>
          <w:sz w:val="22"/>
          <w:szCs w:val="22"/>
          <w:lang w:val="en-GB" w:eastAsia="en-US"/>
        </w:rPr>
      </w:pPr>
      <w:r w:rsidRPr="004838A9">
        <w:rPr>
          <w:b/>
          <w:bCs/>
          <w:sz w:val="22"/>
          <w:szCs w:val="22"/>
          <w:lang w:val="en-GB"/>
        </w:rPr>
        <w:t xml:space="preserve">With regard to: </w:t>
      </w:r>
      <w:hyperlink r:id="rId7" w:history="1">
        <w:r w:rsidRPr="004B48A2">
          <w:rPr>
            <w:rStyle w:val="Hyperlink"/>
            <w:b/>
            <w:i/>
            <w:sz w:val="22"/>
            <w:szCs w:val="22"/>
            <w:lang w:val="en-GB" w:eastAsia="en-US"/>
          </w:rPr>
          <w:t>Recommendation GFCM/35/2011/3 on reducing incidental by-catch of seabirds in fisheries in the GFCM Competence Area</w:t>
        </w:r>
      </w:hyperlink>
    </w:p>
    <w:p w:rsidR="006644CF" w:rsidRDefault="006644CF" w:rsidP="006644CF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  <w:r w:rsidRPr="004838A9">
        <w:rPr>
          <w:sz w:val="22"/>
          <w:szCs w:val="22"/>
          <w:lang w:val="en-GB" w:eastAsia="en-US"/>
        </w:rPr>
        <w:t xml:space="preserve">Provide information on </w:t>
      </w:r>
      <w:r w:rsidRPr="006644CF">
        <w:rPr>
          <w:sz w:val="22"/>
          <w:szCs w:val="22"/>
          <w:lang w:val="en-GB" w:eastAsia="en-US"/>
        </w:rPr>
        <w:t>s</w:t>
      </w:r>
      <w:r>
        <w:rPr>
          <w:sz w:val="22"/>
          <w:szCs w:val="22"/>
          <w:lang w:val="en-GB" w:eastAsia="en-US"/>
        </w:rPr>
        <w:t xml:space="preserve">eabirds’ </w:t>
      </w:r>
      <w:r w:rsidRPr="006644CF">
        <w:rPr>
          <w:sz w:val="22"/>
          <w:szCs w:val="22"/>
          <w:lang w:val="en-GB" w:eastAsia="en-US"/>
        </w:rPr>
        <w:t xml:space="preserve">incidental taking </w:t>
      </w:r>
      <w:r>
        <w:rPr>
          <w:sz w:val="22"/>
          <w:szCs w:val="22"/>
          <w:lang w:val="en-GB" w:eastAsia="en-US"/>
        </w:rPr>
        <w:t>with reference to</w:t>
      </w:r>
      <w:r w:rsidRPr="004838A9">
        <w:rPr>
          <w:sz w:val="22"/>
          <w:szCs w:val="22"/>
          <w:lang w:val="en-GB" w:eastAsia="en-US"/>
        </w:rPr>
        <w:t xml:space="preserve"> fisheries concerned</w:t>
      </w:r>
      <w:r>
        <w:rPr>
          <w:sz w:val="22"/>
          <w:szCs w:val="22"/>
          <w:lang w:val="en-GB" w:eastAsia="en-US"/>
        </w:rPr>
        <w:t>,</w:t>
      </w:r>
      <w:r w:rsidRPr="004838A9">
        <w:rPr>
          <w:sz w:val="22"/>
          <w:szCs w:val="22"/>
          <w:lang w:val="en-GB" w:eastAsia="en-US"/>
        </w:rPr>
        <w:t xml:space="preserve"> characteristics of gear type, times, locations (either by GSA or statistical rectangles) and affected species</w:t>
      </w:r>
      <w:r>
        <w:rPr>
          <w:sz w:val="22"/>
          <w:szCs w:val="22"/>
          <w:lang w:val="en-GB" w:eastAsia="en-US"/>
        </w:rPr>
        <w:t>, if this information is available</w:t>
      </w:r>
      <w:r w:rsidRPr="004838A9">
        <w:rPr>
          <w:sz w:val="22"/>
          <w:szCs w:val="22"/>
          <w:lang w:val="en-GB" w:eastAsia="en-US"/>
        </w:rPr>
        <w:t xml:space="preserve">. </w:t>
      </w:r>
    </w:p>
    <w:p w:rsidR="006644CF" w:rsidRDefault="006644CF" w:rsidP="006644CF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</w:p>
    <w:p w:rsidR="006644CF" w:rsidRPr="004838A9" w:rsidRDefault="006644CF" w:rsidP="006644CF">
      <w:pPr>
        <w:jc w:val="both"/>
        <w:rPr>
          <w:b/>
          <w:sz w:val="22"/>
          <w:szCs w:val="22"/>
          <w:lang w:val="en-GB" w:eastAsia="en-US"/>
        </w:rPr>
      </w:pPr>
      <w:r w:rsidRPr="004838A9">
        <w:rPr>
          <w:b/>
          <w:bCs/>
          <w:sz w:val="22"/>
          <w:szCs w:val="22"/>
          <w:lang w:val="en-GB"/>
        </w:rPr>
        <w:t xml:space="preserve">With regard to: </w:t>
      </w:r>
      <w:hyperlink r:id="rId8" w:history="1">
        <w:r w:rsidRPr="004B48A2">
          <w:rPr>
            <w:rStyle w:val="Hyperlink"/>
            <w:b/>
            <w:i/>
            <w:sz w:val="22"/>
            <w:szCs w:val="22"/>
            <w:lang w:val="en-GB" w:eastAsia="en-US"/>
          </w:rPr>
          <w:t>Recommendation GFCM/35/2011/4 on the incidental by-catch of sea turtles in fisheries in the GFCM Competence Area</w:t>
        </w:r>
      </w:hyperlink>
    </w:p>
    <w:p w:rsidR="006644CF" w:rsidRPr="004838A9" w:rsidRDefault="006644CF" w:rsidP="006644CF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  <w:r w:rsidRPr="004838A9">
        <w:rPr>
          <w:sz w:val="22"/>
          <w:szCs w:val="22"/>
          <w:lang w:val="en-GB" w:eastAsia="en-US"/>
        </w:rPr>
        <w:t xml:space="preserve">Provide information on </w:t>
      </w:r>
      <w:r w:rsidRPr="006644CF">
        <w:rPr>
          <w:sz w:val="22"/>
          <w:szCs w:val="22"/>
          <w:lang w:val="en-GB" w:eastAsia="en-US"/>
        </w:rPr>
        <w:t>information on the interaction of the fishing fleets with sea turtles in GFCM fisheries by gear type and characteristics: times, soak duration, depths and locations, target species, sea turtles species and disposition status of sea turtle specimen(s) (i.e. disca</w:t>
      </w:r>
      <w:r>
        <w:rPr>
          <w:sz w:val="22"/>
          <w:szCs w:val="22"/>
          <w:lang w:val="en-GB" w:eastAsia="en-US"/>
        </w:rPr>
        <w:t xml:space="preserve">rded death or released alive). </w:t>
      </w:r>
    </w:p>
    <w:p w:rsidR="000308CC" w:rsidRPr="004838A9" w:rsidRDefault="000308CC" w:rsidP="000308CC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en-GB" w:eastAsia="en-US"/>
        </w:rPr>
      </w:pPr>
    </w:p>
    <w:p w:rsidR="000308CC" w:rsidRPr="004838A9" w:rsidRDefault="000308CC" w:rsidP="000308CC">
      <w:pPr>
        <w:rPr>
          <w:b/>
          <w:bCs/>
          <w:i/>
          <w:sz w:val="22"/>
          <w:szCs w:val="22"/>
          <w:lang w:val="en-GB"/>
        </w:rPr>
      </w:pPr>
      <w:r w:rsidRPr="004838A9">
        <w:rPr>
          <w:b/>
          <w:bCs/>
          <w:sz w:val="22"/>
          <w:szCs w:val="22"/>
          <w:lang w:val="en-GB"/>
        </w:rPr>
        <w:t>With regard to:</w:t>
      </w:r>
      <w:bookmarkStart w:id="0" w:name="_Toc328476888"/>
      <w:r w:rsidRPr="004838A9">
        <w:rPr>
          <w:b/>
          <w:bCs/>
          <w:sz w:val="22"/>
          <w:szCs w:val="22"/>
          <w:lang w:val="en-GB"/>
        </w:rPr>
        <w:t xml:space="preserve"> </w:t>
      </w:r>
      <w:hyperlink r:id="rId9" w:history="1">
        <w:r w:rsidRPr="004B48A2">
          <w:rPr>
            <w:rStyle w:val="Hyperlink"/>
            <w:b/>
            <w:bCs/>
            <w:i/>
            <w:sz w:val="22"/>
            <w:szCs w:val="22"/>
            <w:lang w:val="en-GB"/>
          </w:rPr>
          <w:t>Recommendation GFCM/36/2012/2</w:t>
        </w:r>
        <w:bookmarkStart w:id="1" w:name="_Toc328476889"/>
        <w:bookmarkEnd w:id="0"/>
        <w:r w:rsidRPr="004B48A2">
          <w:rPr>
            <w:rStyle w:val="Hyperlink"/>
            <w:b/>
            <w:bCs/>
            <w:i/>
            <w:sz w:val="22"/>
            <w:szCs w:val="22"/>
            <w:lang w:val="en-GB"/>
          </w:rPr>
          <w:t xml:space="preserve"> on mitigation of incidental catches of cetaceans in the GFCM area</w:t>
        </w:r>
        <w:bookmarkEnd w:id="1"/>
      </w:hyperlink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  <w:r w:rsidRPr="004838A9">
        <w:rPr>
          <w:sz w:val="22"/>
          <w:szCs w:val="22"/>
          <w:lang w:val="en-GB" w:eastAsia="en-US"/>
        </w:rPr>
        <w:t xml:space="preserve">Provide information on by-catch rates of cetaceans taking into account, amongst other relevant information: fisheries </w:t>
      </w:r>
      <w:proofErr w:type="gramStart"/>
      <w:r w:rsidR="006644CF" w:rsidRPr="004838A9">
        <w:rPr>
          <w:sz w:val="22"/>
          <w:szCs w:val="22"/>
          <w:lang w:val="en-GB" w:eastAsia="en-US"/>
        </w:rPr>
        <w:t>concerned</w:t>
      </w:r>
      <w:r w:rsidR="006644CF">
        <w:rPr>
          <w:sz w:val="22"/>
          <w:szCs w:val="22"/>
          <w:lang w:val="en-GB" w:eastAsia="en-US"/>
        </w:rPr>
        <w:t>,</w:t>
      </w:r>
      <w:proofErr w:type="gramEnd"/>
      <w:r w:rsidRPr="004838A9">
        <w:rPr>
          <w:sz w:val="22"/>
          <w:szCs w:val="22"/>
          <w:lang w:val="en-GB" w:eastAsia="en-US"/>
        </w:rPr>
        <w:t xml:space="preserve"> characteristics of gear type, times, locations (either by GSA or statistical rectangles) and affected cetacean species. </w:t>
      </w:r>
    </w:p>
    <w:p w:rsidR="000308CC" w:rsidRPr="004838A9" w:rsidRDefault="000308CC" w:rsidP="000308CC">
      <w:pPr>
        <w:jc w:val="both"/>
        <w:rPr>
          <w:sz w:val="22"/>
          <w:szCs w:val="22"/>
          <w:lang w:val="en-US" w:eastAsia="en-US"/>
        </w:rPr>
      </w:pPr>
    </w:p>
    <w:p w:rsidR="000308CC" w:rsidRPr="004838A9" w:rsidRDefault="000308CC" w:rsidP="000308CC">
      <w:pPr>
        <w:rPr>
          <w:b/>
          <w:sz w:val="22"/>
          <w:szCs w:val="22"/>
          <w:lang w:val="en-GB"/>
        </w:rPr>
      </w:pPr>
      <w:bookmarkStart w:id="2" w:name="_Toc328476891"/>
      <w:r w:rsidRPr="004838A9">
        <w:rPr>
          <w:b/>
          <w:bCs/>
          <w:sz w:val="22"/>
          <w:szCs w:val="22"/>
          <w:lang w:val="en-GB"/>
        </w:rPr>
        <w:t xml:space="preserve">With regard to: </w:t>
      </w:r>
      <w:hyperlink r:id="rId10" w:history="1">
        <w:r w:rsidRPr="004B48A2">
          <w:rPr>
            <w:rStyle w:val="Hyperlink"/>
            <w:b/>
            <w:i/>
            <w:sz w:val="22"/>
            <w:szCs w:val="22"/>
            <w:lang w:val="en-GB"/>
          </w:rPr>
          <w:t>Recommendation GFCM/36/2012/3</w:t>
        </w:r>
        <w:bookmarkStart w:id="3" w:name="_Toc328476892"/>
        <w:bookmarkEnd w:id="2"/>
        <w:r w:rsidRPr="004B48A2">
          <w:rPr>
            <w:rStyle w:val="Hyperlink"/>
            <w:b/>
            <w:i/>
            <w:sz w:val="22"/>
            <w:szCs w:val="22"/>
            <w:lang w:val="en-GB"/>
          </w:rPr>
          <w:t xml:space="preserve"> on fisheries management measures for conservation of sharks and rays in the GFCM area</w:t>
        </w:r>
        <w:bookmarkEnd w:id="3"/>
      </w:hyperlink>
    </w:p>
    <w:p w:rsidR="000308CC" w:rsidRPr="004838A9" w:rsidRDefault="000308CC" w:rsidP="000308CC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en-GB" w:eastAsia="en-US"/>
        </w:rPr>
      </w:pPr>
      <w:r w:rsidRPr="004838A9">
        <w:rPr>
          <w:sz w:val="22"/>
          <w:szCs w:val="22"/>
          <w:lang w:val="en-GB" w:eastAsia="en-US"/>
        </w:rPr>
        <w:t>Provide information on fishing activities, catch data, incidental taking, release and/or discarding events for sharks species listed either in Annex II or III of the SPA/BD Protocol.</w:t>
      </w:r>
    </w:p>
    <w:p w:rsidR="000308CC" w:rsidRPr="004838A9" w:rsidRDefault="000308CC" w:rsidP="000308CC">
      <w:pPr>
        <w:jc w:val="both"/>
        <w:rPr>
          <w:b/>
          <w:bCs/>
          <w:sz w:val="22"/>
          <w:szCs w:val="22"/>
          <w:lang w:val="en-US"/>
        </w:rPr>
      </w:pPr>
    </w:p>
    <w:p w:rsidR="000308CC" w:rsidRPr="004838A9" w:rsidRDefault="000308CC" w:rsidP="000308CC">
      <w:pPr>
        <w:jc w:val="both"/>
        <w:rPr>
          <w:b/>
          <w:bCs/>
          <w:sz w:val="22"/>
          <w:szCs w:val="22"/>
          <w:lang w:val="en-US"/>
        </w:rPr>
      </w:pPr>
      <w:r w:rsidRPr="004838A9">
        <w:rPr>
          <w:b/>
          <w:bCs/>
          <w:sz w:val="22"/>
          <w:szCs w:val="22"/>
          <w:lang w:val="en-GB"/>
        </w:rPr>
        <w:t>Proposals for future research programmes</w:t>
      </w:r>
      <w:bookmarkStart w:id="4" w:name="_GoBack"/>
      <w:bookmarkEnd w:id="4"/>
    </w:p>
    <w:p w:rsidR="000308CC" w:rsidRPr="0079400B" w:rsidRDefault="000308CC" w:rsidP="000308CC">
      <w:pPr>
        <w:rPr>
          <w:lang w:val="en-GB"/>
        </w:rPr>
      </w:pPr>
    </w:p>
    <w:p w:rsidR="00892C41" w:rsidRDefault="00892C41" w:rsidP="00892C41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892C41" w:rsidRDefault="00892C41" w:rsidP="00892C41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892C41" w:rsidRDefault="00892C41" w:rsidP="00892C41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892C41" w:rsidRDefault="00892C41" w:rsidP="00892C41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892C41" w:rsidRPr="00892C41" w:rsidRDefault="00892C41" w:rsidP="00892C41">
      <w:pPr>
        <w:autoSpaceDE w:val="0"/>
        <w:autoSpaceDN w:val="0"/>
        <w:adjustRightInd w:val="0"/>
        <w:jc w:val="both"/>
        <w:rPr>
          <w:i/>
          <w:sz w:val="22"/>
          <w:szCs w:val="22"/>
          <w:lang w:val="en-GB" w:eastAsia="en-US"/>
        </w:rPr>
      </w:pPr>
      <w:r w:rsidRPr="00892C41">
        <w:rPr>
          <w:i/>
          <w:sz w:val="22"/>
          <w:szCs w:val="22"/>
          <w:lang w:val="en-GB" w:eastAsia="en-US"/>
        </w:rPr>
        <w:t>Other recommendations will be added (</w:t>
      </w:r>
      <w:r w:rsidR="00942A41">
        <w:rPr>
          <w:i/>
          <w:sz w:val="22"/>
          <w:szCs w:val="22"/>
          <w:lang w:val="en-GB" w:eastAsia="en-US"/>
        </w:rPr>
        <w:t>possibly</w:t>
      </w:r>
      <w:r w:rsidRPr="00892C41">
        <w:rPr>
          <w:i/>
          <w:sz w:val="22"/>
          <w:szCs w:val="22"/>
          <w:lang w:val="en-GB" w:eastAsia="en-US"/>
        </w:rPr>
        <w:t>) when they request specific information to be transmitted through National Reports to SAC.</w:t>
      </w:r>
    </w:p>
    <w:p w:rsidR="0022317E" w:rsidRPr="00892C41" w:rsidRDefault="0022317E">
      <w:pPr>
        <w:rPr>
          <w:lang w:val="en-GB"/>
        </w:rPr>
      </w:pPr>
    </w:p>
    <w:sectPr w:rsidR="0022317E" w:rsidRPr="00892C41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045"/>
    <w:multiLevelType w:val="hybridMultilevel"/>
    <w:tmpl w:val="0B16B2DA"/>
    <w:lvl w:ilvl="0" w:tplc="9634E7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CC"/>
    <w:rsid w:val="000308CC"/>
    <w:rsid w:val="0022317E"/>
    <w:rsid w:val="004B48A2"/>
    <w:rsid w:val="005E0F11"/>
    <w:rsid w:val="006644CF"/>
    <w:rsid w:val="006A018E"/>
    <w:rsid w:val="00892C41"/>
    <w:rsid w:val="00942A41"/>
    <w:rsid w:val="009A4ECB"/>
    <w:rsid w:val="009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customStyle="1" w:styleId="HeadingSAC15">
    <w:name w:val="Heading_SAC15"/>
    <w:basedOn w:val="Normal"/>
    <w:link w:val="HeadingSAC15Char"/>
    <w:qFormat/>
    <w:rsid w:val="000308CC"/>
    <w:pPr>
      <w:keepNext/>
      <w:jc w:val="center"/>
      <w:outlineLvl w:val="0"/>
    </w:pPr>
    <w:rPr>
      <w:b/>
      <w:bCs/>
      <w:noProof/>
      <w:kern w:val="32"/>
      <w:sz w:val="22"/>
      <w:lang w:val="fr-FR" w:eastAsia="en-GB"/>
    </w:rPr>
  </w:style>
  <w:style w:type="character" w:customStyle="1" w:styleId="HeadingSAC15Char">
    <w:name w:val="Heading_SAC15 Char"/>
    <w:basedOn w:val="DefaultParagraphFont"/>
    <w:link w:val="HeadingSAC15"/>
    <w:rsid w:val="000308CC"/>
    <w:rPr>
      <w:rFonts w:ascii="Times New Roman" w:eastAsia="Times New Roman" w:hAnsi="Times New Roman" w:cs="Times New Roman"/>
      <w:b/>
      <w:bCs/>
      <w:noProof/>
      <w:kern w:val="32"/>
      <w:szCs w:val="20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4B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customStyle="1" w:styleId="HeadingSAC15">
    <w:name w:val="Heading_SAC15"/>
    <w:basedOn w:val="Normal"/>
    <w:link w:val="HeadingSAC15Char"/>
    <w:qFormat/>
    <w:rsid w:val="000308CC"/>
    <w:pPr>
      <w:keepNext/>
      <w:jc w:val="center"/>
      <w:outlineLvl w:val="0"/>
    </w:pPr>
    <w:rPr>
      <w:b/>
      <w:bCs/>
      <w:noProof/>
      <w:kern w:val="32"/>
      <w:sz w:val="22"/>
      <w:lang w:val="fr-FR" w:eastAsia="en-GB"/>
    </w:rPr>
  </w:style>
  <w:style w:type="character" w:customStyle="1" w:styleId="HeadingSAC15Char">
    <w:name w:val="Heading_SAC15 Char"/>
    <w:basedOn w:val="DefaultParagraphFont"/>
    <w:link w:val="HeadingSAC15"/>
    <w:rsid w:val="000308CC"/>
    <w:rPr>
      <w:rFonts w:ascii="Times New Roman" w:eastAsia="Times New Roman" w:hAnsi="Times New Roman" w:cs="Times New Roman"/>
      <w:b/>
      <w:bCs/>
      <w:noProof/>
      <w:kern w:val="32"/>
      <w:szCs w:val="20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4B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fcmsitestorage.blob.core.windows.net/documents/Decisions/GFCM-Decision--REC.CM-GFCM_35_2011_4-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fcmsitestorage.blob.core.windows.net/documents/Decisions/GFCM-Decision--REC.CM-GFCM_35_2011_3-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fcmsitestorage.blob.core.windows.net/documents/Decisions/GFCM-Decision--REC.CM-GFCM_35_2011_2-e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fcmsitestorage.blob.core.windows.net/documents/Decisions/GFCM-Decision--REC.CM-GFCM_36_2012_3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fcmsitestorage.blob.core.windows.net/documents/Decisions/GFCM-Decision--REC.CM-GFCM_36_2012_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Nastasi (FIPI)</dc:creator>
  <cp:lastModifiedBy>Aurora Nastasi (FIDG)</cp:lastModifiedBy>
  <cp:revision>6</cp:revision>
  <dcterms:created xsi:type="dcterms:W3CDTF">2014-01-28T12:17:00Z</dcterms:created>
  <dcterms:modified xsi:type="dcterms:W3CDTF">2015-02-03T15:59:00Z</dcterms:modified>
</cp:coreProperties>
</file>